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4E" w:rsidRDefault="00FB21AC" w:rsidP="00FB21AC">
      <w:pPr>
        <w:pStyle w:val="NoSpacing"/>
        <w:rPr>
          <w:rFonts w:ascii="Garamond" w:hAnsi="Garamond"/>
          <w:sz w:val="24"/>
          <w:szCs w:val="24"/>
        </w:rPr>
      </w:pPr>
      <w:r>
        <w:rPr>
          <w:rFonts w:ascii="Garamond" w:hAnsi="Garamond"/>
          <w:sz w:val="24"/>
          <w:szCs w:val="24"/>
        </w:rPr>
        <w:t>Tinker v. Des Moines Case Study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Name__________________________</w:t>
      </w:r>
      <w:r>
        <w:rPr>
          <w:rFonts w:ascii="Garamond" w:hAnsi="Garamond"/>
          <w:sz w:val="24"/>
          <w:szCs w:val="24"/>
        </w:rPr>
        <w:br/>
        <w:t>Constitutional Law</w:t>
      </w:r>
      <w:r>
        <w:rPr>
          <w:rFonts w:ascii="Garamond" w:hAnsi="Garamond"/>
          <w:sz w:val="24"/>
          <w:szCs w:val="24"/>
        </w:rPr>
        <w:br/>
        <w:t xml:space="preserve">Mr. Faulhaber </w:t>
      </w:r>
    </w:p>
    <w:p w:rsidR="00BA204E" w:rsidRPr="00BA204E" w:rsidRDefault="00BA204E" w:rsidP="00FB21AC">
      <w:pPr>
        <w:pStyle w:val="NoSpacing"/>
        <w:rPr>
          <w:rFonts w:ascii="Garamond" w:hAnsi="Garamond"/>
          <w:sz w:val="24"/>
          <w:szCs w:val="24"/>
        </w:rPr>
      </w:pPr>
      <w:r>
        <w:rPr>
          <w:rFonts w:ascii="Garamond" w:hAnsi="Garamond"/>
          <w:sz w:val="24"/>
          <w:szCs w:val="24"/>
        </w:rPr>
        <w:br/>
      </w:r>
      <w:r>
        <w:rPr>
          <w:rFonts w:ascii="Garamond" w:hAnsi="Garamond"/>
          <w:sz w:val="24"/>
          <w:szCs w:val="24"/>
        </w:rPr>
        <w:br/>
      </w:r>
      <w:r w:rsidRPr="00BA204E">
        <w:rPr>
          <w:rFonts w:ascii="Garamond" w:hAnsi="Garamond"/>
          <w:b/>
          <w:sz w:val="28"/>
          <w:szCs w:val="28"/>
          <w:u w:val="single"/>
        </w:rPr>
        <w:t>Tinker v. Des Moines/ Background</w:t>
      </w:r>
      <w:r>
        <w:t xml:space="preserve"> </w:t>
      </w:r>
      <w:r>
        <w:br/>
      </w:r>
      <w:r w:rsidRPr="00BA204E">
        <w:rPr>
          <w:sz w:val="12"/>
          <w:szCs w:val="12"/>
        </w:rPr>
        <w:br/>
      </w:r>
      <w:r w:rsidRPr="00BA204E">
        <w:rPr>
          <w:rFonts w:ascii="Garamond" w:hAnsi="Garamond"/>
          <w:sz w:val="24"/>
          <w:szCs w:val="24"/>
        </w:rPr>
        <w:t xml:space="preserve">John and Mary Beth Tinker and Christopher Eckhardt were public school students in Des Moines, Iowa, in December of 1965. As part of a group against American involvement in the Vietnam War, they decided to publicize their opposition by wearing black armbands to school. Having heard of the students’ plans, the principals of the public schools in Des Moines adopted a new policy concerning armbands. This policy stated that any student who wore an armband to school would be asked immediately to remove it. A student who refused to take off their armband would be suspended until agreeing to return to school without the band. They communicated the new rule to the students. </w:t>
      </w:r>
    </w:p>
    <w:p w:rsidR="00BA204E" w:rsidRPr="00BA204E" w:rsidRDefault="00BA204E" w:rsidP="00FB21AC">
      <w:pPr>
        <w:pStyle w:val="NoSpacing"/>
        <w:rPr>
          <w:rFonts w:ascii="Garamond" w:hAnsi="Garamond"/>
          <w:sz w:val="24"/>
          <w:szCs w:val="24"/>
        </w:rPr>
      </w:pPr>
    </w:p>
    <w:p w:rsidR="00BA204E" w:rsidRPr="00BA204E" w:rsidRDefault="00BA204E" w:rsidP="00FB21AC">
      <w:pPr>
        <w:pStyle w:val="NoSpacing"/>
        <w:rPr>
          <w:rFonts w:ascii="Garamond" w:hAnsi="Garamond"/>
          <w:sz w:val="24"/>
          <w:szCs w:val="24"/>
        </w:rPr>
      </w:pPr>
      <w:r w:rsidRPr="00BA204E">
        <w:rPr>
          <w:rFonts w:ascii="Garamond" w:hAnsi="Garamond"/>
          <w:sz w:val="24"/>
          <w:szCs w:val="24"/>
        </w:rPr>
        <w:t xml:space="preserve">Two days later and aware of the school policy, John, Mary Beth, and Christopher wore armbands to school. Upon arriving at school, the students were asked to remove their armbands and they refused. They were subsequently suspended until they returned to school without their armbands. </w:t>
      </w:r>
    </w:p>
    <w:p w:rsidR="00BA204E" w:rsidRPr="00BA204E" w:rsidRDefault="00BA204E" w:rsidP="00FB21AC">
      <w:pPr>
        <w:pStyle w:val="NoSpacing"/>
        <w:rPr>
          <w:rFonts w:ascii="Garamond" w:hAnsi="Garamond"/>
          <w:sz w:val="24"/>
          <w:szCs w:val="24"/>
        </w:rPr>
      </w:pPr>
    </w:p>
    <w:p w:rsidR="00BA204E" w:rsidRPr="00BA204E" w:rsidRDefault="00BA204E" w:rsidP="00FB21AC">
      <w:pPr>
        <w:pStyle w:val="NoSpacing"/>
        <w:rPr>
          <w:rFonts w:ascii="Garamond" w:hAnsi="Garamond"/>
          <w:sz w:val="24"/>
          <w:szCs w:val="24"/>
        </w:rPr>
      </w:pPr>
      <w:r w:rsidRPr="00BA204E">
        <w:rPr>
          <w:rFonts w:ascii="Garamond" w:hAnsi="Garamond"/>
          <w:sz w:val="24"/>
          <w:szCs w:val="24"/>
        </w:rPr>
        <w:t xml:space="preserve">The students returned to school without armbands after January 1, 1966, the date scheduled for the end of their protest. However, their fathers filed suit in U.S. District Court. This suit asked the court for a small amount of money for damages and an injunction to restrain school officials from enforcing their armband policy. Although the District Court recognized the children’s First Amendment right to free speech, the court refused to issue an injunction, claiming that the school officials’ actions were reasonable in light of potential disruptions from the students’ protest. The Tinkers and </w:t>
      </w:r>
      <w:proofErr w:type="spellStart"/>
      <w:r w:rsidRPr="00BA204E">
        <w:rPr>
          <w:rFonts w:ascii="Garamond" w:hAnsi="Garamond"/>
          <w:sz w:val="24"/>
          <w:szCs w:val="24"/>
        </w:rPr>
        <w:t>Eckhardts</w:t>
      </w:r>
      <w:proofErr w:type="spellEnd"/>
      <w:r w:rsidRPr="00BA204E">
        <w:rPr>
          <w:rFonts w:ascii="Garamond" w:hAnsi="Garamond"/>
          <w:sz w:val="24"/>
          <w:szCs w:val="24"/>
        </w:rPr>
        <w:t xml:space="preserve"> appealed their case to the U.S. Court of Appeals but a tie vote in that court allowed the District Court’s ruling stand. They then decided to appeal the case to the Supreme Court of the United States. </w:t>
      </w:r>
    </w:p>
    <w:p w:rsidR="00BA204E" w:rsidRPr="00BA204E" w:rsidRDefault="00BA204E" w:rsidP="00FB21AC">
      <w:pPr>
        <w:pStyle w:val="NoSpacing"/>
        <w:rPr>
          <w:rFonts w:ascii="Garamond" w:hAnsi="Garamond"/>
          <w:sz w:val="24"/>
          <w:szCs w:val="24"/>
        </w:rPr>
      </w:pPr>
    </w:p>
    <w:p w:rsidR="00BA204E" w:rsidRPr="00BA204E" w:rsidRDefault="00BA204E" w:rsidP="00FB21AC">
      <w:pPr>
        <w:pStyle w:val="NoSpacing"/>
        <w:rPr>
          <w:rFonts w:ascii="Garamond" w:hAnsi="Garamond"/>
          <w:sz w:val="24"/>
          <w:szCs w:val="24"/>
        </w:rPr>
      </w:pPr>
      <w:r w:rsidRPr="00BA204E">
        <w:rPr>
          <w:rFonts w:ascii="Garamond" w:hAnsi="Garamond"/>
          <w:sz w:val="24"/>
          <w:szCs w:val="24"/>
        </w:rPr>
        <w:t xml:space="preserve">The case came down to this fundamental question: Does the First Amendment right of free speech extend to symbolic speech by students in public schools? And, if so, in what circumstances is that symbolic speech protected? The First Amendment states “Congress shall make no law . . . abridging the freedom of speech.” The 14th Amendment extends this rule to state governments as well, which includes school systems. The Supreme Court had decided that some types of speech are not protected. For example, it is not clear whether hate speech against an individual or group is protected. Neither does the First Amendment specify what types of expressive actions—such as wearing an arm band—should be considered speech. </w:t>
      </w:r>
    </w:p>
    <w:p w:rsidR="00BA204E" w:rsidRPr="00BA204E" w:rsidRDefault="00BA204E" w:rsidP="00FB21AC">
      <w:pPr>
        <w:pStyle w:val="NoSpacing"/>
        <w:rPr>
          <w:rFonts w:ascii="Garamond" w:hAnsi="Garamond"/>
          <w:sz w:val="24"/>
          <w:szCs w:val="24"/>
        </w:rPr>
      </w:pPr>
    </w:p>
    <w:p w:rsidR="00BA204E" w:rsidRPr="00BA204E" w:rsidRDefault="00BA204E" w:rsidP="00FB21AC">
      <w:pPr>
        <w:pStyle w:val="NoSpacing"/>
        <w:rPr>
          <w:rFonts w:ascii="Garamond" w:hAnsi="Garamond"/>
          <w:sz w:val="24"/>
          <w:szCs w:val="24"/>
        </w:rPr>
      </w:pPr>
      <w:r w:rsidRPr="00BA204E">
        <w:rPr>
          <w:rFonts w:ascii="Garamond" w:hAnsi="Garamond"/>
          <w:sz w:val="24"/>
          <w:szCs w:val="24"/>
        </w:rPr>
        <w:t xml:space="preserve">The Supreme Court of the United States has made many attempts to determine what types of symbolic speech are protected under the First Amendment. In 1919, the Court decided in Schenck v. United States that an individual could be punished for distributing pamphlets urging non-compliance with the WWI draft because the pamphlets “create[ed] a clear and present danger that they will bring about [a] substantive </w:t>
      </w:r>
      <w:proofErr w:type="gramStart"/>
      <w:r w:rsidRPr="00BA204E">
        <w:rPr>
          <w:rFonts w:ascii="Garamond" w:hAnsi="Garamond"/>
          <w:sz w:val="24"/>
          <w:szCs w:val="24"/>
        </w:rPr>
        <w:t>evil[</w:t>
      </w:r>
      <w:proofErr w:type="gramEnd"/>
      <w:r w:rsidRPr="00BA204E">
        <w:rPr>
          <w:rFonts w:ascii="Garamond" w:hAnsi="Garamond"/>
          <w:sz w:val="24"/>
          <w:szCs w:val="24"/>
        </w:rPr>
        <w:t xml:space="preserve"> . . .] Congress has a right to prevent”—(i.e., draft obstruction. The Court wrestled with the issue of the right to symbolic speech again in the case of Thornhill v. Alabama (1940) when it ruled that picketing was a form of symbolic speech protected by the First Amendment because no clear and present danger of destruction of life or property or of breach of the peace was inherent in the action. Three years later in a case about saluting the flag, West Virginia v. Barnette (1943), the Court extended the First Amendment protection of symbolic speech to students in public schools. In Barnette, the Court held “[</w:t>
      </w:r>
      <w:proofErr w:type="spellStart"/>
      <w:r w:rsidRPr="00BA204E">
        <w:rPr>
          <w:rFonts w:ascii="Garamond" w:hAnsi="Garamond"/>
          <w:sz w:val="24"/>
          <w:szCs w:val="24"/>
        </w:rPr>
        <w:t>i</w:t>
      </w:r>
      <w:proofErr w:type="spellEnd"/>
      <w:r w:rsidRPr="00BA204E">
        <w:rPr>
          <w:rFonts w:ascii="Garamond" w:hAnsi="Garamond"/>
          <w:sz w:val="24"/>
          <w:szCs w:val="24"/>
        </w:rPr>
        <w:t xml:space="preserve">]f there is any fixed star in our constitutional constellation, it is that no official, high or petty, can prescribe what shall be orthodox in politics, nationalism, religion, or other matters of opinion </w:t>
      </w:r>
      <w:proofErr w:type="gramStart"/>
      <w:r w:rsidRPr="00BA204E">
        <w:rPr>
          <w:rFonts w:ascii="Garamond" w:hAnsi="Garamond"/>
          <w:sz w:val="24"/>
          <w:szCs w:val="24"/>
        </w:rPr>
        <w:t>. . . .</w:t>
      </w:r>
      <w:proofErr w:type="gramEnd"/>
      <w:r w:rsidRPr="00BA204E">
        <w:rPr>
          <w:rFonts w:ascii="Garamond" w:hAnsi="Garamond"/>
          <w:sz w:val="24"/>
          <w:szCs w:val="24"/>
        </w:rPr>
        <w:t xml:space="preserve"> ” </w:t>
      </w:r>
    </w:p>
    <w:p w:rsidR="00BA204E" w:rsidRPr="00BA204E" w:rsidRDefault="00BA204E" w:rsidP="00FB21AC">
      <w:pPr>
        <w:pStyle w:val="NoSpacing"/>
        <w:rPr>
          <w:rFonts w:ascii="Garamond" w:hAnsi="Garamond"/>
          <w:sz w:val="24"/>
          <w:szCs w:val="24"/>
        </w:rPr>
      </w:pPr>
    </w:p>
    <w:p w:rsidR="00FB21AC" w:rsidRDefault="00BA204E" w:rsidP="00FB21AC">
      <w:pPr>
        <w:pStyle w:val="NoSpacing"/>
        <w:rPr>
          <w:rFonts w:ascii="Garamond" w:hAnsi="Garamond"/>
          <w:sz w:val="24"/>
          <w:szCs w:val="24"/>
        </w:rPr>
      </w:pPr>
      <w:r w:rsidRPr="00BA204E">
        <w:rPr>
          <w:rFonts w:ascii="Garamond" w:hAnsi="Garamond"/>
          <w:sz w:val="24"/>
          <w:szCs w:val="24"/>
        </w:rPr>
        <w:t>In 1968 the Supreme Court of the United States agreed to hear the Tinkers’ case and consider the constitutionality of the Des Moines principals’ anti-armband policy. The Court’s decision in Tinker v. Des Moines was handed down in 1969.</w:t>
      </w:r>
    </w:p>
    <w:p w:rsidR="00BA204E" w:rsidRDefault="00BA204E" w:rsidP="00FB21AC">
      <w:pPr>
        <w:pStyle w:val="NoSpacing"/>
        <w:rPr>
          <w:rFonts w:ascii="Garamond" w:hAnsi="Garamond"/>
          <w:sz w:val="24"/>
          <w:szCs w:val="24"/>
        </w:rPr>
      </w:pPr>
    </w:p>
    <w:p w:rsidR="00BA204E" w:rsidRDefault="00BA204E" w:rsidP="00FB21AC">
      <w:pPr>
        <w:pStyle w:val="NoSpacing"/>
        <w:rPr>
          <w:rFonts w:ascii="Garamond" w:hAnsi="Garamond"/>
          <w:sz w:val="24"/>
          <w:szCs w:val="24"/>
        </w:rPr>
      </w:pPr>
    </w:p>
    <w:p w:rsidR="00BA204E" w:rsidRDefault="00BA204E" w:rsidP="00FB21AC">
      <w:pPr>
        <w:pStyle w:val="NoSpacing"/>
        <w:rPr>
          <w:rFonts w:ascii="Garamond" w:hAnsi="Garamond"/>
          <w:sz w:val="24"/>
          <w:szCs w:val="24"/>
        </w:rPr>
      </w:pPr>
    </w:p>
    <w:p w:rsidR="00BA204E" w:rsidRPr="00BA204E" w:rsidRDefault="00BA204E" w:rsidP="00FB21AC">
      <w:pPr>
        <w:pStyle w:val="NoSpacing"/>
        <w:rPr>
          <w:rFonts w:ascii="Garamond" w:hAnsi="Garamond"/>
          <w:sz w:val="24"/>
          <w:szCs w:val="24"/>
        </w:rPr>
      </w:pPr>
    </w:p>
    <w:p w:rsidR="00FB21AC" w:rsidRPr="00FB21AC" w:rsidRDefault="00FB21AC" w:rsidP="00FB21AC">
      <w:pPr>
        <w:pStyle w:val="NoSpacing"/>
        <w:rPr>
          <w:rFonts w:ascii="Garamond" w:hAnsi="Garamond"/>
          <w:b/>
          <w:sz w:val="24"/>
          <w:szCs w:val="24"/>
        </w:rPr>
      </w:pPr>
      <w:r w:rsidRPr="00FB21AC">
        <w:rPr>
          <w:rFonts w:ascii="Garamond" w:hAnsi="Garamond"/>
          <w:b/>
          <w:sz w:val="24"/>
          <w:szCs w:val="24"/>
        </w:rPr>
        <w:lastRenderedPageBreak/>
        <w:t>The following is a list of arguments in the </w:t>
      </w:r>
      <w:r w:rsidRPr="00FB21AC">
        <w:rPr>
          <w:rFonts w:ascii="Garamond" w:hAnsi="Garamond"/>
          <w:b/>
          <w:i/>
          <w:iCs/>
          <w:sz w:val="24"/>
          <w:szCs w:val="24"/>
        </w:rPr>
        <w:t>Tinker v. Des Moines </w:t>
      </w:r>
      <w:r w:rsidRPr="00FB21AC">
        <w:rPr>
          <w:rFonts w:ascii="Garamond" w:hAnsi="Garamond"/>
          <w:b/>
          <w:sz w:val="24"/>
          <w:szCs w:val="24"/>
        </w:rPr>
        <w:t xml:space="preserve">(1969) case. Read through each argument and decide whether it supports the Tinkers' position (T), the position of the Des Moines School District (DM), both sides (BOTH), or neither side (N). </w:t>
      </w:r>
    </w:p>
    <w:p w:rsidR="00FB21AC" w:rsidRDefault="00FB21AC" w:rsidP="00FB21AC">
      <w:pPr>
        <w:pStyle w:val="NoSpacing"/>
        <w:rPr>
          <w:rFonts w:ascii="Garamond" w:hAnsi="Garamond"/>
          <w:sz w:val="24"/>
          <w:szCs w:val="24"/>
        </w:rPr>
      </w:pPr>
    </w:p>
    <w:p w:rsidR="00FB21AC" w:rsidRPr="00BA204E" w:rsidRDefault="00FB21AC" w:rsidP="00FB21AC">
      <w:pPr>
        <w:pStyle w:val="NoSpacing"/>
        <w:rPr>
          <w:rFonts w:ascii="Garamond" w:hAnsi="Garamond"/>
        </w:rPr>
      </w:pPr>
      <w:r w:rsidRPr="00BA204E">
        <w:rPr>
          <w:rFonts w:ascii="Garamond" w:hAnsi="Garamond"/>
        </w:rPr>
        <w:t>____1. The First Amendment to the United States Constitution states:</w:t>
      </w:r>
    </w:p>
    <w:p w:rsidR="00FB21AC" w:rsidRPr="00BA204E" w:rsidRDefault="00FB21AC" w:rsidP="00FB21AC">
      <w:pPr>
        <w:pStyle w:val="NoSpacing"/>
        <w:rPr>
          <w:rFonts w:ascii="Garamond" w:hAnsi="Garamond"/>
        </w:rPr>
      </w:pPr>
      <w:r w:rsidRPr="00BA204E">
        <w:rPr>
          <w:rFonts w:ascii="Garamond" w:hAnsi="Garamond"/>
          <w:i/>
          <w:iCs/>
        </w:rPr>
        <w:br/>
        <w:t>"Congress shall make no law . . . abridging the freedom of speech</w:t>
      </w:r>
      <w:proofErr w:type="gramStart"/>
      <w:r w:rsidRPr="00BA204E">
        <w:rPr>
          <w:rFonts w:ascii="Garamond" w:hAnsi="Garamond"/>
          <w:i/>
          <w:iCs/>
        </w:rPr>
        <w:t>. . . .</w:t>
      </w:r>
      <w:proofErr w:type="gramEnd"/>
      <w:r w:rsidRPr="00BA204E">
        <w:rPr>
          <w:rFonts w:ascii="Garamond" w:hAnsi="Garamond"/>
          <w:i/>
          <w:iCs/>
        </w:rPr>
        <w:t>"</w:t>
      </w:r>
    </w:p>
    <w:p w:rsidR="00FB21AC" w:rsidRPr="00BA204E" w:rsidRDefault="00FB21AC" w:rsidP="00FB21AC">
      <w:pPr>
        <w:pStyle w:val="NoSpacing"/>
        <w:rPr>
          <w:rFonts w:ascii="Garamond" w:hAnsi="Garamond"/>
        </w:rPr>
      </w:pPr>
      <w:r w:rsidRPr="00BA204E">
        <w:rPr>
          <w:rFonts w:ascii="Garamond" w:hAnsi="Garamond"/>
        </w:rPr>
        <w:br/>
        <w:t>The administration of a public school is an agent of the government. At a minimum, therefore, it must uphold the basic rights protected by the U.S. Constitution.</w:t>
      </w:r>
    </w:p>
    <w:p w:rsidR="00FB21AC" w:rsidRPr="00BA204E" w:rsidRDefault="00FB21AC" w:rsidP="00FB21AC">
      <w:pPr>
        <w:pStyle w:val="NoSpacing"/>
        <w:rPr>
          <w:rFonts w:ascii="Garamond" w:hAnsi="Garamond"/>
        </w:rPr>
      </w:pPr>
      <w:r w:rsidRPr="00BA204E">
        <w:rPr>
          <w:rFonts w:ascii="Garamond" w:hAnsi="Garamond"/>
        </w:rPr>
        <w:br/>
        <w:t>____2. In the case of </w:t>
      </w:r>
      <w:r w:rsidRPr="00BA204E">
        <w:rPr>
          <w:rFonts w:ascii="Garamond" w:hAnsi="Garamond"/>
          <w:i/>
          <w:iCs/>
        </w:rPr>
        <w:t>Stromberg v. California </w:t>
      </w:r>
      <w:r w:rsidRPr="00BA204E">
        <w:rPr>
          <w:rFonts w:ascii="Garamond" w:hAnsi="Garamond"/>
        </w:rPr>
        <w:t>(1931), the Supreme Court ruled that the First Amendment protects symbolic speech by declaring unconstitutional a California law prohibiting a display of a red flag as a symbol of opposition to established government.</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____3. Free speech is not an absolute right. The government, at all levels, must balance the rights of individuals to free speech with other values the society holds dear. These other values may include public safety and protecting the rights of other individuals.</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____4. In order for a school to function, there must be rules prohibiting behavior that could be disruptive to the school's educational mission. Schools contribute to making us a more law-abiding people, and school discipline is an important part of children's development as good citizens.</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____5. Schools are meant to be a forum for learning, which includes the possibility for debate of controversial issues. Communication among students is an inevitable and important part of the educational process.</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____6. The Des Moines School District did not ban all expressions of political or controversial subjects. In the past the school had allowed the wearing of political campaign buttons, for instance.</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____7. Allowing students to flout a school rule regarding the wearing of armbands will lead us down a slippery slope. It is not difficult to imagine that if the Tinkers are supported, that students will see this as license to break other school rules as well.</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____8. In the late 1960s many student groups in universities around the country were conducting sit-ins, lie-ins, and other forms of protest against the Vietnam War that interrupted the normal functioning of schools.</w:t>
      </w:r>
    </w:p>
    <w:p w:rsidR="00FB21AC" w:rsidRPr="00BA204E" w:rsidRDefault="00FB21AC" w:rsidP="00FB21AC">
      <w:pPr>
        <w:pStyle w:val="NoSpacing"/>
        <w:rPr>
          <w:rFonts w:ascii="Garamond" w:hAnsi="Garamond"/>
        </w:rPr>
      </w:pPr>
    </w:p>
    <w:p w:rsidR="00FB21AC" w:rsidRDefault="00FB21AC" w:rsidP="00FB21AC">
      <w:pPr>
        <w:pStyle w:val="NoSpacing"/>
        <w:rPr>
          <w:rFonts w:ascii="Garamond" w:hAnsi="Garamond"/>
        </w:rPr>
      </w:pPr>
      <w:r w:rsidRPr="00BA204E">
        <w:rPr>
          <w:rFonts w:ascii="Garamond" w:hAnsi="Garamond"/>
        </w:rPr>
        <w:t>____9. The wearing of the armbands was a silent and passive expression of a position on the Vietnam War. There was no evidence of substantial disruption to the school resulting from the armbands; however, the school officials reasonably feared disruption and therefore took preemptive action to protect the learning environment of the students.</w:t>
      </w:r>
    </w:p>
    <w:p w:rsidR="00BA204E" w:rsidRPr="00BA204E" w:rsidRDefault="00BA204E" w:rsidP="00FB21AC">
      <w:pPr>
        <w:pStyle w:val="NoSpacing"/>
        <w:rPr>
          <w:rFonts w:ascii="Garamond" w:hAnsi="Garamond"/>
        </w:rPr>
      </w:pPr>
    </w:p>
    <w:p w:rsidR="00FB21AC" w:rsidRDefault="00FB21AC" w:rsidP="00FB21AC">
      <w:pPr>
        <w:pStyle w:val="NoSpacing"/>
        <w:rPr>
          <w:rFonts w:ascii="Garamond" w:hAnsi="Garamond"/>
          <w:sz w:val="24"/>
          <w:szCs w:val="24"/>
        </w:rPr>
      </w:pPr>
    </w:p>
    <w:p w:rsidR="0051194B" w:rsidRDefault="00BA204E" w:rsidP="00BA204E">
      <w:pPr>
        <w:spacing w:after="200"/>
        <w:rPr>
          <w:rFonts w:ascii="Garamond" w:hAnsi="Garamond"/>
        </w:rPr>
      </w:pPr>
      <w:r w:rsidRPr="00D3228C">
        <w:rPr>
          <w:rFonts w:ascii="Garamond" w:hAnsi="Garamond"/>
          <w:b/>
        </w:rPr>
        <w:t>The Argument(s) above I thought was most persuasive stated….If I was a Supreme Court Justice, I would you decide the case for… because…</w:t>
      </w:r>
      <w:r>
        <w:rPr>
          <w:i/>
        </w:rPr>
        <w:t xml:space="preserve"> </w:t>
      </w:r>
      <w:r>
        <w:rPr>
          <w:i/>
        </w:rPr>
        <w:br/>
      </w:r>
      <w:r w:rsidRPr="00D3228C">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w:t>
      </w:r>
    </w:p>
    <w:p w:rsidR="0051194B" w:rsidRDefault="0051194B" w:rsidP="00FB21AC">
      <w:pPr>
        <w:pStyle w:val="NoSpacing"/>
        <w:rPr>
          <w:rFonts w:ascii="Garamond" w:hAnsi="Garamond"/>
          <w:sz w:val="24"/>
          <w:szCs w:val="24"/>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lastRenderedPageBreak/>
        <w:t xml:space="preserve">The </w:t>
      </w:r>
      <w:r w:rsidR="00991863" w:rsidRPr="00991863">
        <w:rPr>
          <w:rFonts w:ascii="Garamond" w:hAnsi="Garamond"/>
          <w:sz w:val="20"/>
          <w:szCs w:val="20"/>
        </w:rPr>
        <w:t xml:space="preserve">Supreme </w:t>
      </w:r>
      <w:r w:rsidRPr="00991863">
        <w:rPr>
          <w:rFonts w:ascii="Garamond" w:hAnsi="Garamond"/>
          <w:sz w:val="20"/>
          <w:szCs w:val="20"/>
        </w:rPr>
        <w:t xml:space="preserve">Court ruled 7 to 2. </w:t>
      </w:r>
      <w:r w:rsidR="00991863" w:rsidRPr="00991863">
        <w:rPr>
          <w:rFonts w:ascii="Garamond" w:hAnsi="Garamond"/>
          <w:sz w:val="20"/>
          <w:szCs w:val="20"/>
        </w:rPr>
        <w:t xml:space="preserve">The following is from the majority opinion delivered by </w:t>
      </w:r>
      <w:r w:rsidRPr="00991863">
        <w:rPr>
          <w:rFonts w:ascii="Garamond" w:hAnsi="Garamond"/>
          <w:sz w:val="20"/>
          <w:szCs w:val="20"/>
        </w:rPr>
        <w:t>Justice Fortas</w:t>
      </w:r>
      <w:r w:rsidR="00991863" w:rsidRPr="00991863">
        <w:rPr>
          <w:rFonts w:ascii="Garamond" w:hAnsi="Garamond"/>
          <w:sz w:val="20"/>
          <w:szCs w:val="20"/>
        </w:rPr>
        <w:t>:</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Five justices agreed with the majority opinion. Two justices concurred, meaning that they agreed with the Court's decision that the school policy was unconstitutional, but they wrote separately to explain their reasoning. Two justices dissented. Justice Fortas delivered the majority opinion of the Court.</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proofErr w:type="gramStart"/>
      <w:r w:rsidRPr="00991863">
        <w:rPr>
          <w:rFonts w:ascii="Garamond" w:hAnsi="Garamond"/>
          <w:sz w:val="20"/>
          <w:szCs w:val="20"/>
        </w:rPr>
        <w:t>. . . .</w:t>
      </w:r>
      <w:proofErr w:type="gramEnd"/>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The 14th Amendment, as now applied to the States, protects the citizen against the State itself and all of its creatures — Boards of Education not excepted. These have, of course, important, delicate, and highly discretionary functions, but none that they may not perform within the limits of the Bill of Rights. That they are educating the young for citizenship is reason for scrupulous protection of Constitutional freedoms of the individual, if we are not to strangle the free mind at its source and teach youth to discount important principles of our government as mere platitudes</w:t>
      </w:r>
      <w:proofErr w:type="gramStart"/>
      <w:r w:rsidRPr="00991863">
        <w:rPr>
          <w:rFonts w:ascii="Garamond" w:hAnsi="Garamond"/>
          <w:sz w:val="20"/>
          <w:szCs w:val="20"/>
        </w:rPr>
        <w:t>. . . .</w:t>
      </w:r>
      <w:proofErr w:type="gramEnd"/>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On the other hand, the Court has repeatedly emphasized the need for affirming the comprehensive authority of the States and of school officials, consistent with fundamental constitutional safeguards, to prescribe and control conduct in the schools. Our problem involves direct, primary First Amendment rights akin to "pure speech."</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xml:space="preserve">. . . 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 </w:t>
      </w:r>
      <w:proofErr w:type="gramStart"/>
      <w:r w:rsidRPr="00991863">
        <w:rPr>
          <w:rFonts w:ascii="Garamond" w:hAnsi="Garamond"/>
          <w:sz w:val="20"/>
          <w:szCs w:val="20"/>
        </w:rPr>
        <w:t>Certainly</w:t>
      </w:r>
      <w:proofErr w:type="gramEnd"/>
      <w:r w:rsidRPr="00991863">
        <w:rPr>
          <w:rFonts w:ascii="Garamond" w:hAnsi="Garamond"/>
          <w:sz w:val="20"/>
          <w:szCs w:val="20"/>
        </w:rPr>
        <w:t xml:space="preserve"> where there is no finding and no showing that engaging in the forbidden conduct would "materially and substantially interfere with the requirements of </w:t>
      </w:r>
    </w:p>
    <w:p w:rsidR="00FB21AC" w:rsidRPr="00991863" w:rsidRDefault="00FB21AC" w:rsidP="00FB21AC">
      <w:pPr>
        <w:pStyle w:val="NoSpacing"/>
        <w:rPr>
          <w:rFonts w:ascii="Garamond" w:hAnsi="Garamond"/>
          <w:sz w:val="20"/>
          <w:szCs w:val="20"/>
        </w:rPr>
      </w:pPr>
      <w:r w:rsidRPr="00991863">
        <w:rPr>
          <w:rFonts w:ascii="Garamond" w:hAnsi="Garamond"/>
          <w:sz w:val="20"/>
          <w:szCs w:val="20"/>
        </w:rPr>
        <w:t>appropriate discipline in the operation of the school," the prohibition cannot be sustained . . .</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the record fails to yield evidence that the school authorities had reason to anticipate that the wearing of the armbands would substantially interfere with the work of the school or impinge upon the rights of other students . . . [and] the school officials banned and sought to punish petitioners for a silent, passive expression of opinion, unaccompanied by any disorder or disturbance on the part of petitioners</w:t>
      </w:r>
      <w:proofErr w:type="gramStart"/>
      <w:r w:rsidRPr="00991863">
        <w:rPr>
          <w:rFonts w:ascii="Garamond" w:hAnsi="Garamond"/>
          <w:sz w:val="20"/>
          <w:szCs w:val="20"/>
        </w:rPr>
        <w:t>. . . .</w:t>
      </w:r>
      <w:proofErr w:type="gramEnd"/>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Times New Roman" w:hAnsi="Times New Roman"/>
          <w:sz w:val="20"/>
          <w:szCs w:val="20"/>
        </w:rPr>
      </w:pPr>
      <w:r w:rsidRPr="00991863">
        <w:rPr>
          <w:rFonts w:ascii="Garamond" w:hAnsi="Garamond"/>
          <w:sz w:val="20"/>
          <w:szCs w:val="20"/>
        </w:rPr>
        <w:t>It is also relevant that the school authorities did not purport to prohibit the wearing of all symbols of political or controversial significance . . . Instead, a particular symbol — black armbands worn to exhibit opposition to this Nation's involvement in Vietnam — was singled out for prohibition. Clearly, the prohibition of expression of one particular opinion, at least without evidence that it is necessary to avoid material and substantial interference with schoolwork or discipline, is not constitutionally permissible. In our system, state-operated schools may not be enclaves of totalitarianism. School officials do not possess absolute authority over their students. Students in school as well as out of school are "persons" under our Constitution. In the absence of a specific showing of constitutionally valid reasons to regulate their speech, students are entitled to freedom of expression of their views</w:t>
      </w:r>
      <w:proofErr w:type="gramStart"/>
      <w:r w:rsidRPr="00991863">
        <w:rPr>
          <w:rFonts w:ascii="Garamond" w:hAnsi="Garamond"/>
          <w:sz w:val="20"/>
          <w:szCs w:val="20"/>
        </w:rPr>
        <w:t>. . . .</w:t>
      </w:r>
      <w:proofErr w:type="gramEnd"/>
      <w:r w:rsidR="002452DA">
        <w:rPr>
          <w:rFonts w:ascii="Times New Roman" w:hAnsi="Times New Roman"/>
          <w:sz w:val="20"/>
          <w:szCs w:val="20"/>
        </w:rPr>
        <w:pict>
          <v:rect id="_x0000_i1025" style="width:0;height:.75pt" o:hralign="center" o:hrstd="t" o:hrnoshade="t" o:hr="t" fillcolor="black" stroked="f"/>
        </w:pict>
      </w:r>
    </w:p>
    <w:p w:rsidR="00FB21AC" w:rsidRPr="00991863" w:rsidRDefault="00FB21AC" w:rsidP="00FB21AC">
      <w:pPr>
        <w:pStyle w:val="NoSpacing"/>
        <w:rPr>
          <w:rFonts w:ascii="Garamond" w:hAnsi="Garamond"/>
          <w:b/>
          <w:sz w:val="20"/>
          <w:szCs w:val="20"/>
        </w:rPr>
      </w:pPr>
      <w:r w:rsidRPr="00991863">
        <w:rPr>
          <w:rFonts w:ascii="Garamond" w:hAnsi="Garamond"/>
          <w:b/>
          <w:sz w:val="20"/>
          <w:szCs w:val="20"/>
        </w:rPr>
        <w:t>Questions to Consider</w:t>
      </w:r>
      <w:r w:rsidR="00991863" w:rsidRPr="00991863">
        <w:rPr>
          <w:rFonts w:ascii="Garamond" w:hAnsi="Garamond"/>
          <w:b/>
          <w:sz w:val="20"/>
          <w:szCs w:val="20"/>
        </w:rPr>
        <w:t xml:space="preserve">: </w:t>
      </w:r>
    </w:p>
    <w:p w:rsidR="00991863" w:rsidRPr="00991863" w:rsidRDefault="00991863" w:rsidP="00FB21AC">
      <w:pPr>
        <w:pStyle w:val="NoSpacing"/>
        <w:rPr>
          <w:rFonts w:ascii="Garamond" w:hAnsi="Garamond"/>
          <w:sz w:val="8"/>
          <w:szCs w:val="8"/>
        </w:rPr>
      </w:pPr>
    </w:p>
    <w:p w:rsidR="00FB21AC" w:rsidRPr="00991863" w:rsidRDefault="00FB21AC" w:rsidP="00FB21AC">
      <w:pPr>
        <w:pStyle w:val="NoSpacing"/>
        <w:rPr>
          <w:rFonts w:ascii="Garamond" w:hAnsi="Garamond"/>
          <w:color w:val="000000"/>
          <w:sz w:val="20"/>
          <w:szCs w:val="20"/>
        </w:rPr>
      </w:pPr>
      <w:r w:rsidRPr="00991863">
        <w:rPr>
          <w:rFonts w:ascii="Garamond" w:hAnsi="Garamond"/>
          <w:color w:val="000000"/>
          <w:sz w:val="20"/>
          <w:szCs w:val="20"/>
        </w:rPr>
        <w:t>1. In the majority opinion, the Court recognized the need to balance the specific rights in conflict in this case. What rights are in conflict here?</w:t>
      </w:r>
      <w:r w:rsidR="00991863">
        <w:rPr>
          <w:rFonts w:ascii="Garamond" w:hAnsi="Garamond"/>
          <w:color w:val="000000"/>
          <w:sz w:val="20"/>
          <w:szCs w:val="20"/>
        </w:rPr>
        <w:br/>
      </w:r>
      <w:r w:rsidR="00991863">
        <w:rPr>
          <w:rFonts w:ascii="Garamond" w:hAnsi="Garamond"/>
          <w:color w:val="000000"/>
          <w:sz w:val="20"/>
          <w:szCs w:val="20"/>
        </w:rPr>
        <w:br/>
      </w:r>
    </w:p>
    <w:p w:rsidR="00FB21AC" w:rsidRPr="00991863" w:rsidRDefault="00FB21AC" w:rsidP="00FB21AC">
      <w:pPr>
        <w:pStyle w:val="NoSpacing"/>
        <w:rPr>
          <w:rFonts w:ascii="Garamond" w:hAnsi="Garamond"/>
          <w:color w:val="000000"/>
          <w:sz w:val="20"/>
          <w:szCs w:val="20"/>
        </w:rPr>
      </w:pPr>
    </w:p>
    <w:p w:rsidR="00991863" w:rsidRDefault="00991863" w:rsidP="00FB21AC">
      <w:pPr>
        <w:pStyle w:val="NoSpacing"/>
        <w:rPr>
          <w:rFonts w:ascii="Garamond" w:hAnsi="Garamond"/>
          <w:color w:val="000000"/>
          <w:sz w:val="20"/>
          <w:szCs w:val="20"/>
        </w:rPr>
      </w:pPr>
    </w:p>
    <w:p w:rsidR="00FB21AC" w:rsidRPr="00991863" w:rsidRDefault="00FB21AC" w:rsidP="00FB21AC">
      <w:pPr>
        <w:pStyle w:val="NoSpacing"/>
        <w:rPr>
          <w:rFonts w:ascii="Garamond" w:hAnsi="Garamond"/>
          <w:color w:val="000000"/>
          <w:sz w:val="20"/>
          <w:szCs w:val="20"/>
        </w:rPr>
      </w:pPr>
      <w:r w:rsidRPr="00991863">
        <w:rPr>
          <w:rFonts w:ascii="Garamond" w:hAnsi="Garamond"/>
          <w:color w:val="000000"/>
          <w:sz w:val="20"/>
          <w:szCs w:val="20"/>
        </w:rPr>
        <w:t>2. According to the decision, what must a school prove in order to justify a rule prohibiting its students' rights to free speech?</w:t>
      </w:r>
    </w:p>
    <w:p w:rsidR="00FB21AC" w:rsidRPr="00991863" w:rsidRDefault="00FB21AC" w:rsidP="00FB21AC">
      <w:pPr>
        <w:pStyle w:val="NoSpacing"/>
        <w:rPr>
          <w:rFonts w:ascii="Garamond" w:hAnsi="Garamond"/>
          <w:color w:val="000000"/>
          <w:sz w:val="20"/>
          <w:szCs w:val="20"/>
        </w:rPr>
      </w:pPr>
    </w:p>
    <w:p w:rsidR="00FB21AC" w:rsidRPr="00991863" w:rsidRDefault="00991863" w:rsidP="00FB21AC">
      <w:pPr>
        <w:pStyle w:val="NoSpacing"/>
        <w:rPr>
          <w:rFonts w:ascii="Garamond" w:hAnsi="Garamond"/>
          <w:color w:val="000000"/>
          <w:sz w:val="20"/>
          <w:szCs w:val="20"/>
        </w:rPr>
      </w:pP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r w:rsidR="00FB21AC" w:rsidRPr="00991863">
        <w:rPr>
          <w:rFonts w:ascii="Garamond" w:hAnsi="Garamond"/>
          <w:color w:val="000000"/>
          <w:sz w:val="20"/>
          <w:szCs w:val="20"/>
        </w:rPr>
        <w:t>3. Students in the Des Moines schools were permitted to wear other symbols of political statements such as presidential campaign buttons. Why was this significant to the Court?</w:t>
      </w:r>
    </w:p>
    <w:p w:rsidR="00FB21AC" w:rsidRPr="00991863" w:rsidRDefault="00FB21AC" w:rsidP="00FB21AC">
      <w:pPr>
        <w:pStyle w:val="NoSpacing"/>
        <w:rPr>
          <w:rFonts w:ascii="Garamond" w:hAnsi="Garamond"/>
          <w:color w:val="000000"/>
          <w:sz w:val="20"/>
          <w:szCs w:val="20"/>
        </w:rPr>
      </w:pPr>
    </w:p>
    <w:p w:rsidR="00FB21AC" w:rsidRDefault="00991863" w:rsidP="00FB21AC">
      <w:pPr>
        <w:pStyle w:val="NoSpacing"/>
        <w:rPr>
          <w:rFonts w:ascii="Garamond" w:hAnsi="Garamond"/>
          <w:color w:val="000000"/>
          <w:sz w:val="20"/>
          <w:szCs w:val="20"/>
        </w:rPr>
      </w:pP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r w:rsidR="00FB21AC" w:rsidRPr="00991863">
        <w:rPr>
          <w:rFonts w:ascii="Garamond" w:hAnsi="Garamond"/>
          <w:color w:val="000000"/>
          <w:sz w:val="20"/>
          <w:szCs w:val="20"/>
        </w:rPr>
        <w:t>4. In light of this decision, what are some situations when the Supreme Court of the United States might allow the school district to restrict students' free speech?</w:t>
      </w:r>
    </w:p>
    <w:p w:rsidR="00772CE9" w:rsidRDefault="00772CE9" w:rsidP="00FB21AC">
      <w:pPr>
        <w:pStyle w:val="NoSpacing"/>
        <w:rPr>
          <w:rFonts w:ascii="Garamond" w:hAnsi="Garamond"/>
          <w:color w:val="000000"/>
          <w:sz w:val="20"/>
          <w:szCs w:val="20"/>
        </w:rPr>
      </w:pPr>
    </w:p>
    <w:p w:rsidR="00772CE9" w:rsidRDefault="00772CE9" w:rsidP="00FB21AC">
      <w:pPr>
        <w:pStyle w:val="NoSpacing"/>
        <w:rPr>
          <w:rFonts w:ascii="Garamond" w:hAnsi="Garamond"/>
          <w:color w:val="000000"/>
          <w:sz w:val="20"/>
          <w:szCs w:val="20"/>
        </w:rPr>
      </w:pPr>
    </w:p>
    <w:p w:rsidR="00772CE9" w:rsidRPr="00991863" w:rsidRDefault="00772CE9" w:rsidP="00FB21AC">
      <w:pPr>
        <w:pStyle w:val="NoSpacing"/>
        <w:rPr>
          <w:rFonts w:ascii="Garamond" w:hAnsi="Garamond"/>
          <w:color w:val="000000"/>
          <w:sz w:val="20"/>
          <w:szCs w:val="20"/>
        </w:rPr>
      </w:pPr>
    </w:p>
    <w:p w:rsidR="00DD47D4" w:rsidRDefault="00DD47D4"/>
    <w:p w:rsidR="00991863" w:rsidRDefault="00991863"/>
    <w:p w:rsidR="00991863" w:rsidRDefault="00991863"/>
    <w:p w:rsidR="00772CE9" w:rsidRDefault="00772CE9" w:rsidP="00772CE9">
      <w:pPr>
        <w:pStyle w:val="NoSpacing"/>
        <w:rPr>
          <w:rFonts w:ascii="Garamond" w:hAnsi="Garamond"/>
          <w:b/>
        </w:rPr>
      </w:pPr>
      <w:r w:rsidRPr="00991863">
        <w:rPr>
          <w:rFonts w:ascii="Garamond" w:hAnsi="Garamond"/>
          <w:b/>
        </w:rPr>
        <w:lastRenderedPageBreak/>
        <w:t xml:space="preserve">Read each example below and determine whether you think the student expression described is potentially disruptive enough to be punished or stopped by the school administration. </w:t>
      </w:r>
    </w:p>
    <w:p w:rsidR="00772CE9" w:rsidRDefault="00772CE9" w:rsidP="00772CE9">
      <w:pPr>
        <w:pStyle w:val="NoSpacing"/>
        <w:rPr>
          <w:rFonts w:ascii="Open Sans" w:hAnsi="Open Sans"/>
          <w:color w:val="000000"/>
          <w:sz w:val="23"/>
          <w:szCs w:val="23"/>
        </w:rPr>
      </w:pPr>
    </w:p>
    <w:p w:rsidR="00772CE9" w:rsidRPr="00991863" w:rsidRDefault="00772CE9" w:rsidP="00772CE9">
      <w:pPr>
        <w:pStyle w:val="NoSpacing"/>
        <w:rPr>
          <w:rFonts w:ascii="Garamond" w:hAnsi="Garamond"/>
          <w:color w:val="000000"/>
        </w:rPr>
      </w:pPr>
      <w:r w:rsidRPr="00991863">
        <w:rPr>
          <w:rFonts w:ascii="Garamond" w:hAnsi="Garamond"/>
          <w:color w:val="000000"/>
        </w:rPr>
        <w:t>Maggie and Sally come to school wearing new khaki pants. On the back of the pants, where pockets usually are, the girls put patches of the American flag. Therefore, when the girls sat down, they sat on the flag.</w:t>
      </w:r>
    </w:p>
    <w:p w:rsidR="00772CE9" w:rsidRPr="00772CE9"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How disruptive are these actions?</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Would it be constitutional for the school administration to restrict this form of speech? Why or why not?</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0"/>
          <w:numId w:val="3"/>
        </w:numPr>
        <w:shd w:val="clear" w:color="auto" w:fill="FFFFFF"/>
        <w:spacing w:before="0" w:beforeAutospacing="0" w:after="300" w:afterAutospacing="0"/>
        <w:rPr>
          <w:rFonts w:ascii="Garamond" w:hAnsi="Garamond"/>
          <w:color w:val="000000"/>
          <w:sz w:val="22"/>
          <w:szCs w:val="22"/>
        </w:rPr>
      </w:pPr>
      <w:r w:rsidRPr="00991863">
        <w:rPr>
          <w:rFonts w:ascii="Garamond" w:hAnsi="Garamond"/>
          <w:color w:val="000000"/>
          <w:sz w:val="22"/>
          <w:szCs w:val="22"/>
        </w:rPr>
        <w:t>In order to protest the new cafeteria food offered at Valley High School, the student government organizes a protest. During both lunch periods, SGA officials plan to lead a walk-out from the cafeteria and a group march to the local McDonalds.</w:t>
      </w:r>
    </w:p>
    <w:p w:rsidR="00772CE9" w:rsidRPr="00991863" w:rsidRDefault="00772CE9" w:rsidP="00772CE9">
      <w:pPr>
        <w:pStyle w:val="NormalWeb"/>
        <w:numPr>
          <w:ilvl w:val="1"/>
          <w:numId w:val="3"/>
        </w:numPr>
        <w:shd w:val="clear" w:color="auto" w:fill="FFFFFF"/>
        <w:spacing w:before="0" w:beforeAutospacing="0" w:after="300" w:afterAutospacing="0"/>
        <w:rPr>
          <w:rFonts w:ascii="Garamond" w:hAnsi="Garamond"/>
          <w:color w:val="000000"/>
          <w:sz w:val="22"/>
          <w:szCs w:val="22"/>
        </w:rPr>
      </w:pPr>
      <w:r w:rsidRPr="00991863">
        <w:rPr>
          <w:rFonts w:ascii="Garamond" w:hAnsi="Garamond"/>
          <w:color w:val="000000"/>
          <w:sz w:val="22"/>
          <w:szCs w:val="22"/>
        </w:rPr>
        <w:t>How disruptive are these actions?</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Would it be constitutional for the school administration to restrict this form of speech? Why or why not?</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0"/>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Local gang members wear colored plastic bracelets on their wrists to declare their affiliation.</w:t>
      </w:r>
    </w:p>
    <w:p w:rsidR="00772CE9" w:rsidRPr="00772CE9"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10"/>
          <w:szCs w:val="10"/>
        </w:rPr>
      </w:pPr>
      <w:r w:rsidRPr="00991863">
        <w:rPr>
          <w:rFonts w:ascii="Garamond" w:hAnsi="Garamond"/>
          <w:color w:val="000000"/>
          <w:sz w:val="22"/>
          <w:szCs w:val="22"/>
        </w:rPr>
        <w:t>How disruptive are these actions?</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Would it be constitutional for the school administration to restrict this form of speech? Why or why not?</w:t>
      </w:r>
      <w:r>
        <w:rPr>
          <w:rFonts w:ascii="Garamond" w:hAnsi="Garamond"/>
          <w:color w:val="000000"/>
          <w:sz w:val="22"/>
          <w:szCs w:val="22"/>
        </w:rPr>
        <w:br/>
      </w:r>
    </w:p>
    <w:p w:rsidR="00772CE9" w:rsidRPr="00991863" w:rsidRDefault="00772CE9" w:rsidP="00772CE9">
      <w:pPr>
        <w:pStyle w:val="NormalWeb"/>
        <w:numPr>
          <w:ilvl w:val="0"/>
          <w:numId w:val="3"/>
        </w:numPr>
        <w:shd w:val="clear" w:color="auto" w:fill="FFFFFF"/>
        <w:spacing w:before="0" w:beforeAutospacing="0" w:after="300" w:afterAutospacing="0"/>
        <w:rPr>
          <w:rFonts w:ascii="Garamond" w:hAnsi="Garamond"/>
          <w:color w:val="000000"/>
          <w:sz w:val="22"/>
          <w:szCs w:val="22"/>
        </w:rPr>
      </w:pPr>
      <w:r w:rsidRPr="00991863">
        <w:rPr>
          <w:rFonts w:ascii="Garamond" w:hAnsi="Garamond"/>
          <w:color w:val="000000"/>
          <w:sz w:val="22"/>
          <w:szCs w:val="22"/>
        </w:rPr>
        <w:t>During a pep rally, a student leader uses very obscene language in a speech.</w:t>
      </w:r>
    </w:p>
    <w:p w:rsidR="00772CE9" w:rsidRPr="00991863" w:rsidRDefault="00772CE9" w:rsidP="00772CE9">
      <w:pPr>
        <w:pStyle w:val="NormalWeb"/>
        <w:numPr>
          <w:ilvl w:val="1"/>
          <w:numId w:val="3"/>
        </w:numPr>
        <w:shd w:val="clear" w:color="auto" w:fill="FFFFFF"/>
        <w:spacing w:before="0" w:beforeAutospacing="0" w:after="300" w:afterAutospacing="0"/>
        <w:rPr>
          <w:rFonts w:ascii="Garamond" w:hAnsi="Garamond"/>
          <w:color w:val="000000"/>
          <w:sz w:val="22"/>
          <w:szCs w:val="22"/>
        </w:rPr>
      </w:pPr>
      <w:r w:rsidRPr="00991863">
        <w:rPr>
          <w:rFonts w:ascii="Garamond" w:hAnsi="Garamond"/>
          <w:color w:val="000000"/>
          <w:sz w:val="22"/>
          <w:szCs w:val="22"/>
        </w:rPr>
        <w:t>How disruptive are these actions?</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Would it be constitutional for the school administration to restrict this form of speech? Why or why not?</w:t>
      </w:r>
      <w:r>
        <w:rPr>
          <w:rFonts w:ascii="Garamond" w:hAnsi="Garamond"/>
          <w:color w:val="000000"/>
          <w:sz w:val="22"/>
          <w:szCs w:val="22"/>
        </w:rPr>
        <w:br/>
      </w:r>
    </w:p>
    <w:p w:rsidR="00772CE9" w:rsidRDefault="00772CE9" w:rsidP="00772CE9">
      <w:pPr>
        <w:pStyle w:val="NormalWeb"/>
        <w:numPr>
          <w:ilvl w:val="0"/>
          <w:numId w:val="3"/>
        </w:numPr>
        <w:shd w:val="clear" w:color="auto" w:fill="FFFFFF"/>
        <w:spacing w:before="0" w:beforeAutospacing="0" w:after="300" w:afterAutospacing="0"/>
        <w:rPr>
          <w:rFonts w:ascii="Garamond" w:hAnsi="Garamond"/>
          <w:color w:val="000000"/>
          <w:sz w:val="22"/>
          <w:szCs w:val="22"/>
        </w:rPr>
      </w:pPr>
      <w:r w:rsidRPr="00991863">
        <w:rPr>
          <w:rFonts w:ascii="Garamond" w:hAnsi="Garamond"/>
          <w:color w:val="000000"/>
          <w:sz w:val="22"/>
          <w:szCs w:val="22"/>
        </w:rPr>
        <w:t>Atheists in your school decide they want to publicize and educate others about their beliefs. To make their point, they begin wearing t-shirts that portray Jesus as a monster with three heads.</w:t>
      </w:r>
    </w:p>
    <w:p w:rsidR="00772CE9" w:rsidRPr="009E2CB5" w:rsidRDefault="00772CE9" w:rsidP="00772CE9">
      <w:pPr>
        <w:pStyle w:val="NormalWeb"/>
        <w:numPr>
          <w:ilvl w:val="0"/>
          <w:numId w:val="4"/>
        </w:numPr>
        <w:shd w:val="clear" w:color="auto" w:fill="FFFFFF"/>
        <w:spacing w:before="0" w:beforeAutospacing="0" w:after="300" w:afterAutospacing="0"/>
        <w:rPr>
          <w:rFonts w:ascii="Garamond" w:hAnsi="Garamond"/>
          <w:color w:val="000000"/>
          <w:sz w:val="22"/>
          <w:szCs w:val="22"/>
        </w:rPr>
      </w:pPr>
      <w:r w:rsidRPr="009E2CB5">
        <w:rPr>
          <w:rFonts w:ascii="Garamond" w:hAnsi="Garamond"/>
          <w:color w:val="000000"/>
          <w:sz w:val="22"/>
          <w:szCs w:val="22"/>
        </w:rPr>
        <w:t>How disruptive are these actions?</w:t>
      </w:r>
      <w:r>
        <w:rPr>
          <w:rFonts w:ascii="Garamond" w:hAnsi="Garamond"/>
          <w:color w:val="000000"/>
          <w:sz w:val="22"/>
          <w:szCs w:val="22"/>
        </w:rPr>
        <w:br/>
      </w:r>
      <w:r w:rsidRPr="009E2CB5">
        <w:rPr>
          <w:rFonts w:ascii="Garamond" w:hAnsi="Garamond"/>
          <w:color w:val="000000"/>
          <w:sz w:val="22"/>
          <w:szCs w:val="22"/>
        </w:rPr>
        <w:br/>
      </w:r>
      <w:r>
        <w:rPr>
          <w:rFonts w:ascii="Garamond" w:hAnsi="Garamond"/>
          <w:color w:val="000000"/>
          <w:sz w:val="10"/>
          <w:szCs w:val="10"/>
        </w:rPr>
        <w:br/>
      </w:r>
    </w:p>
    <w:p w:rsidR="00991863" w:rsidRDefault="00772CE9" w:rsidP="002E50AD">
      <w:pPr>
        <w:pStyle w:val="NormalWeb"/>
        <w:numPr>
          <w:ilvl w:val="1"/>
          <w:numId w:val="3"/>
        </w:numPr>
        <w:shd w:val="clear" w:color="auto" w:fill="FFFFFF"/>
        <w:spacing w:before="0" w:beforeAutospacing="0" w:after="300" w:afterAutospacing="0"/>
      </w:pPr>
      <w:r w:rsidRPr="002452DA">
        <w:rPr>
          <w:rFonts w:ascii="Garamond" w:hAnsi="Garamond"/>
          <w:color w:val="000000"/>
          <w:sz w:val="22"/>
          <w:szCs w:val="22"/>
        </w:rPr>
        <w:t>Would it be constitutional for the school administration to restrict this form of speech? Why or why not?</w:t>
      </w:r>
      <w:bookmarkStart w:id="0" w:name="_GoBack"/>
      <w:bookmarkEnd w:id="0"/>
    </w:p>
    <w:sectPr w:rsidR="00991863" w:rsidSect="00FB21AC">
      <w:pgSz w:w="12240" w:h="15840"/>
      <w:pgMar w:top="63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1003"/>
    <w:multiLevelType w:val="multilevel"/>
    <w:tmpl w:val="027C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065E1"/>
    <w:multiLevelType w:val="hybridMultilevel"/>
    <w:tmpl w:val="4D482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FB7399"/>
    <w:multiLevelType w:val="multilevel"/>
    <w:tmpl w:val="E4E8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2F4E9F"/>
    <w:multiLevelType w:val="multilevel"/>
    <w:tmpl w:val="D9007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AC"/>
    <w:rsid w:val="002452DA"/>
    <w:rsid w:val="0051194B"/>
    <w:rsid w:val="005822EA"/>
    <w:rsid w:val="00772CE9"/>
    <w:rsid w:val="00991863"/>
    <w:rsid w:val="009E2CB5"/>
    <w:rsid w:val="00BA204E"/>
    <w:rsid w:val="00BD2EF2"/>
    <w:rsid w:val="00DD47D4"/>
    <w:rsid w:val="00E95BFB"/>
    <w:rsid w:val="00F11870"/>
    <w:rsid w:val="00FB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A16C"/>
  <w15:chartTrackingRefBased/>
  <w15:docId w15:val="{CEDA2414-1880-433B-A33C-04906FE6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04E"/>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FB21A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21AC"/>
    <w:rPr>
      <w:rFonts w:ascii="Times New Roman" w:eastAsia="Times New Roman" w:hAnsi="Times New Roman" w:cs="Times New Roman"/>
      <w:b/>
      <w:bCs/>
      <w:sz w:val="24"/>
      <w:szCs w:val="24"/>
    </w:rPr>
  </w:style>
  <w:style w:type="paragraph" w:styleId="NormalWeb">
    <w:name w:val="Normal (Web)"/>
    <w:basedOn w:val="Normal"/>
    <w:uiPriority w:val="99"/>
    <w:unhideWhenUsed/>
    <w:rsid w:val="00FB21AC"/>
    <w:pPr>
      <w:spacing w:before="100" w:beforeAutospacing="1" w:after="100" w:afterAutospacing="1"/>
    </w:pPr>
  </w:style>
  <w:style w:type="paragraph" w:styleId="NoSpacing">
    <w:name w:val="No Spacing"/>
    <w:uiPriority w:val="1"/>
    <w:qFormat/>
    <w:rsid w:val="00FB21AC"/>
    <w:pPr>
      <w:spacing w:after="0" w:line="240" w:lineRule="auto"/>
    </w:pPr>
  </w:style>
  <w:style w:type="character" w:styleId="Emphasis">
    <w:name w:val="Emphasis"/>
    <w:basedOn w:val="DefaultParagraphFont"/>
    <w:uiPriority w:val="20"/>
    <w:qFormat/>
    <w:rsid w:val="00FB2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02073">
      <w:bodyDiv w:val="1"/>
      <w:marLeft w:val="0"/>
      <w:marRight w:val="0"/>
      <w:marTop w:val="0"/>
      <w:marBottom w:val="0"/>
      <w:divBdr>
        <w:top w:val="none" w:sz="0" w:space="0" w:color="auto"/>
        <w:left w:val="none" w:sz="0" w:space="0" w:color="auto"/>
        <w:bottom w:val="none" w:sz="0" w:space="0" w:color="auto"/>
        <w:right w:val="none" w:sz="0" w:space="0" w:color="auto"/>
      </w:divBdr>
    </w:div>
    <w:div w:id="1029456706">
      <w:bodyDiv w:val="1"/>
      <w:marLeft w:val="0"/>
      <w:marRight w:val="0"/>
      <w:marTop w:val="0"/>
      <w:marBottom w:val="0"/>
      <w:divBdr>
        <w:top w:val="none" w:sz="0" w:space="0" w:color="auto"/>
        <w:left w:val="none" w:sz="0" w:space="0" w:color="auto"/>
        <w:bottom w:val="none" w:sz="0" w:space="0" w:color="auto"/>
        <w:right w:val="none" w:sz="0" w:space="0" w:color="auto"/>
      </w:divBdr>
    </w:div>
    <w:div w:id="19469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2021-02-18T22:11:00Z</cp:lastPrinted>
  <dcterms:created xsi:type="dcterms:W3CDTF">2021-02-18T22:14:00Z</dcterms:created>
  <dcterms:modified xsi:type="dcterms:W3CDTF">2021-02-18T22:14:00Z</dcterms:modified>
</cp:coreProperties>
</file>